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0" w:rsidRDefault="005444A0" w:rsidP="005444A0">
      <w:pPr>
        <w:ind w:firstLine="709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8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условий 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труда руководителей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бюджетных организаций,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</w:t>
      </w:r>
    </w:p>
    <w:p w:rsidR="005444A0" w:rsidRDefault="005444A0" w:rsidP="005444A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 и главных бухгалтеров</w:t>
      </w:r>
    </w:p>
    <w:p w:rsidR="005444A0" w:rsidRDefault="005444A0" w:rsidP="005444A0">
      <w:pPr>
        <w:ind w:firstLine="709"/>
        <w:jc w:val="center"/>
        <w:rPr>
          <w:rFonts w:ascii="Calibri" w:hAnsi="Calibri"/>
          <w:sz w:val="24"/>
          <w:szCs w:val="24"/>
        </w:rPr>
      </w:pPr>
    </w:p>
    <w:p w:rsidR="005444A0" w:rsidRDefault="005444A0" w:rsidP="005444A0">
      <w:pPr>
        <w:rPr>
          <w:b/>
          <w:sz w:val="24"/>
          <w:szCs w:val="24"/>
        </w:rPr>
      </w:pPr>
    </w:p>
    <w:p w:rsidR="005444A0" w:rsidRDefault="005444A0" w:rsidP="00544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эффективности деятельности руководителя образовательного учреждения муниципального образования – Спасский муниципальный район Рязанской области.</w:t>
      </w:r>
    </w:p>
    <w:p w:rsidR="005444A0" w:rsidRDefault="005444A0" w:rsidP="005444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434"/>
        <w:gridCol w:w="2393"/>
      </w:tblGrid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(критерии деятельности)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Соответствие деятельности ОУ требованиям законодательства в сфере образования (отсутствие предписаний надзорных органов, жалоб) (максимальное количество 5 баллов)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 со стороны педагогов, родителей, обучающихся – (-1 балл за каждую)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надзорных органов.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 (-1 балл за каждую)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Функционирование системы государственно-общественного управления. (максимальное количество 7 баллов)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Публичная отчетность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публичного доклада о деятельности учреждения 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внебюджетных средств от общей суммы финансирования МОУ – 0,2 балла за каждые 10%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Удовлетворенность населения качеством предоставляемых  образовательных услуг дополнительного образования (максимальное количество  5 баллов)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системы дополнительного образования муниципального образовательного учреждения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каждое направление (по лицензии) – 1 балл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удовлетворенности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степени удовлетворенности: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– 2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– 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Информационная открытость (сайт ОУ, размещение протоколов комиссии по </w:t>
            </w:r>
            <w:r>
              <w:rPr>
                <w:b/>
                <w:sz w:val="24"/>
                <w:szCs w:val="24"/>
              </w:rPr>
              <w:lastRenderedPageBreak/>
              <w:t>распределению стимулирующего фонда на сайте, участие в процедурах независимой оценки качества образования) (максимальное количество  6  баллов)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сайта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обновление информации, размещаемой на сайте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информации, размещаемой на сайте, требованиям законодательства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Реализация мероприятий по профилактике правонарушений у несовершеннолетних (максимальное количество  2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числа учащихся, поставленных на учет в комиссии по делам несовершеннолетних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стоящих на учете – 2 балла;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 сравнению с предыдущим периодом – 1 балл; повышение – (-1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Кадровые ресурсы учреждения (максимальное количество  11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Кадровое обеспечение: 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лицензионными требованиями – 2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указанных в приложении к лицензии лицензионных требований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 со стажем работы до 5 лет  10% и более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не менее чем у 50% педагогических работников квалификационных категорий – 1 балл, 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 и более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работников, прошедших обучение на курсах повышения </w:t>
            </w:r>
            <w:r>
              <w:rPr>
                <w:sz w:val="24"/>
                <w:szCs w:val="24"/>
              </w:rPr>
              <w:lastRenderedPageBreak/>
              <w:t>квалификации в течении последних 5 лет в объеме не менее 72 часов от 10% до 20% - 1 балл; 20% до 30% - 2 балла; свыше 30% - 3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конкурсах профессионального мастерства 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 – 3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 уровне – 2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 -1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Реализация программ по сохранению и укреплению здоровья детей (максимальное количество  10   баллов)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ГПН, СЭН – (-1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травматизма среди обучающихся и работников во время образовательного процесса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здоровье сберегающих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мероприятий по организации круглогодичного оздоровления, отдыха и труда обучающихся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лагерей с дневным пребыванием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трудоустройства несовершеннолетних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ГО и ЧС, органов ГПН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замечаний со стороны ГО и ЧС, органов ГПН – (-1 </w:t>
            </w:r>
            <w:r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здоровья обучающихся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здоровых детей по результатам медицинского осмотра школьников в сравнении с предыдущим периодом – 1 балл,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- (-1 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охвата учащихся горячим питанием выше, чем в среднем по району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двухразового питания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 питания (наличие замечаний СЭС - -1 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учебном плане дополнительного часа для проведения урока двигательной активности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Реализация программ, направленных на работу с одаренными детьми (максимальное количество   20 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подготовленных школой и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областном уровне – 4 балла;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или международном уровнях – 5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ОУ  объединений учащихся, творческих групп учащихся, научных обществ учащихся, учебно-исследовательских  лабораторий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программы </w:t>
            </w:r>
            <w:bookmarkStart w:id="0" w:name="YANDEX_15"/>
            <w:bookmarkEnd w:id="0"/>
            <w:r>
              <w:rPr>
                <w:rStyle w:val="highlighthighlightactive"/>
                <w:sz w:val="24"/>
                <w:szCs w:val="24"/>
              </w:rPr>
              <w:t> работы </w:t>
            </w:r>
            <w:r>
              <w:rPr>
                <w:sz w:val="24"/>
                <w:szCs w:val="24"/>
              </w:rPr>
              <w:t xml:space="preserve"> </w:t>
            </w:r>
            <w:bookmarkStart w:id="1" w:name="YANDEX_16"/>
            <w:bookmarkEnd w:id="1"/>
            <w:r>
              <w:rPr>
                <w:rStyle w:val="highlighthighlightactive"/>
                <w:sz w:val="24"/>
                <w:szCs w:val="24"/>
              </w:rPr>
              <w:t> с </w:t>
            </w:r>
            <w:r>
              <w:rPr>
                <w:sz w:val="24"/>
                <w:szCs w:val="24"/>
              </w:rPr>
              <w:t xml:space="preserve"> </w:t>
            </w:r>
            <w:bookmarkStart w:id="2" w:name="YANDEX_17"/>
            <w:bookmarkEnd w:id="2"/>
            <w:r>
              <w:rPr>
                <w:rStyle w:val="highlighthighlightactive"/>
                <w:sz w:val="24"/>
                <w:szCs w:val="24"/>
              </w:rPr>
              <w:t> одаренными </w:t>
            </w:r>
            <w:r>
              <w:rPr>
                <w:sz w:val="24"/>
                <w:szCs w:val="24"/>
              </w:rPr>
              <w:t xml:space="preserve"> </w:t>
            </w:r>
            <w:bookmarkStart w:id="3" w:name="YANDEX_18"/>
            <w:bookmarkEnd w:id="3"/>
            <w:r>
              <w:rPr>
                <w:rStyle w:val="highlighthighlightactive"/>
                <w:sz w:val="24"/>
                <w:szCs w:val="24"/>
              </w:rPr>
              <w:t> детьми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разработке и реализации проектов, программ, связанных с </w:t>
            </w:r>
            <w:bookmarkStart w:id="4" w:name="YANDEX_50"/>
            <w:bookmarkEnd w:id="4"/>
            <w:r>
              <w:rPr>
                <w:rStyle w:val="highlighthighlightactive"/>
                <w:sz w:val="24"/>
                <w:szCs w:val="24"/>
              </w:rPr>
              <w:t> образовательной </w:t>
            </w:r>
            <w:r>
              <w:rPr>
                <w:sz w:val="24"/>
                <w:szCs w:val="24"/>
              </w:rPr>
              <w:t xml:space="preserve"> деятельностью </w:t>
            </w:r>
            <w:bookmarkStart w:id="5" w:name="YANDEX_51"/>
            <w:bookmarkEnd w:id="5"/>
            <w:r>
              <w:rPr>
                <w:rStyle w:val="highlighthighlightactive"/>
                <w:sz w:val="24"/>
                <w:szCs w:val="24"/>
              </w:rPr>
              <w:t> с </w:t>
            </w:r>
            <w:r>
              <w:rPr>
                <w:sz w:val="24"/>
                <w:szCs w:val="24"/>
              </w:rPr>
              <w:t xml:space="preserve"> </w:t>
            </w:r>
            <w:bookmarkStart w:id="6" w:name="YANDEX_52"/>
            <w:bookmarkEnd w:id="6"/>
            <w:r>
              <w:rPr>
                <w:rStyle w:val="highlighthighlightactive"/>
                <w:sz w:val="24"/>
                <w:szCs w:val="24"/>
              </w:rPr>
              <w:t> одаренными </w:t>
            </w:r>
            <w:r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локальных актов, регулирующих деятельность ОУ по реализации программы </w:t>
            </w:r>
            <w:bookmarkStart w:id="7" w:name="YANDEX_64"/>
            <w:bookmarkEnd w:id="7"/>
            <w:r>
              <w:rPr>
                <w:rStyle w:val="highlighthighlightactive"/>
                <w:sz w:val="24"/>
                <w:szCs w:val="24"/>
              </w:rPr>
              <w:lastRenderedPageBreak/>
              <w:t> работы </w:t>
            </w:r>
            <w:r>
              <w:rPr>
                <w:sz w:val="24"/>
                <w:szCs w:val="24"/>
              </w:rPr>
              <w:t xml:space="preserve"> </w:t>
            </w:r>
            <w:bookmarkStart w:id="8" w:name="YANDEX_65"/>
            <w:bookmarkEnd w:id="8"/>
            <w:r>
              <w:rPr>
                <w:rStyle w:val="highlighthighlightactive"/>
                <w:sz w:val="24"/>
                <w:szCs w:val="24"/>
              </w:rPr>
              <w:t> с </w:t>
            </w:r>
            <w:r>
              <w:rPr>
                <w:sz w:val="24"/>
                <w:szCs w:val="24"/>
              </w:rPr>
              <w:t xml:space="preserve"> </w:t>
            </w:r>
            <w:bookmarkStart w:id="9" w:name="YANDEX_66"/>
            <w:bookmarkEnd w:id="9"/>
            <w:r>
              <w:rPr>
                <w:rStyle w:val="highlighthighlightactive"/>
                <w:sz w:val="24"/>
                <w:szCs w:val="24"/>
              </w:rPr>
              <w:t> одаренными </w:t>
            </w:r>
            <w:r>
              <w:rPr>
                <w:sz w:val="24"/>
                <w:szCs w:val="24"/>
              </w:rPr>
              <w:t xml:space="preserve"> </w:t>
            </w:r>
            <w:bookmarkStart w:id="10" w:name="YANDEX_67"/>
            <w:bookmarkEnd w:id="10"/>
            <w:r>
              <w:rPr>
                <w:rStyle w:val="highlighthighlightactive"/>
                <w:sz w:val="24"/>
                <w:szCs w:val="24"/>
              </w:rPr>
              <w:t> детьми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каждый нормативный акт, утвержденный </w:t>
            </w:r>
            <w:r>
              <w:rPr>
                <w:sz w:val="24"/>
                <w:szCs w:val="24"/>
              </w:rPr>
              <w:lastRenderedPageBreak/>
              <w:t>руководителем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</w:t>
            </w:r>
            <w:bookmarkStart w:id="11" w:name="YANDEX_69"/>
            <w:bookmarkEnd w:id="11"/>
            <w:r>
              <w:rPr>
                <w:rStyle w:val="highlighthighlightactive"/>
                <w:sz w:val="24"/>
                <w:szCs w:val="24"/>
              </w:rPr>
              <w:t> учреждении </w:t>
            </w:r>
            <w:r>
              <w:rPr>
                <w:sz w:val="24"/>
                <w:szCs w:val="24"/>
              </w:rPr>
              <w:t xml:space="preserve"> системы поощрения учащихся за высокие достижения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работающая система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деятельности, ведение экспериментальной </w:t>
            </w:r>
            <w:bookmarkStart w:id="12" w:name="YANDEX_80"/>
            <w:bookmarkEnd w:id="12"/>
            <w:r>
              <w:rPr>
                <w:rStyle w:val="highlighthighlightactive"/>
                <w:sz w:val="24"/>
                <w:szCs w:val="24"/>
              </w:rPr>
              <w:t> работы </w:t>
            </w:r>
            <w:r>
              <w:rPr>
                <w:sz w:val="24"/>
                <w:szCs w:val="24"/>
              </w:rPr>
              <w:t xml:space="preserve"> по поддержке </w:t>
            </w:r>
            <w:bookmarkStart w:id="13" w:name="YANDEX_81"/>
            <w:bookmarkEnd w:id="13"/>
            <w:r>
              <w:rPr>
                <w:rStyle w:val="highlighthighlightactive"/>
                <w:sz w:val="24"/>
                <w:szCs w:val="24"/>
              </w:rPr>
              <w:t> одаренных </w:t>
            </w:r>
            <w:r>
              <w:rPr>
                <w:sz w:val="24"/>
                <w:szCs w:val="24"/>
              </w:rPr>
              <w:t xml:space="preserve"> </w:t>
            </w:r>
            <w:bookmarkStart w:id="14" w:name="YANDEX_82"/>
            <w:bookmarkEnd w:id="14"/>
            <w:r>
              <w:rPr>
                <w:rStyle w:val="highlighthighlightactive"/>
                <w:sz w:val="24"/>
                <w:szCs w:val="24"/>
              </w:rPr>
              <w:t> детей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 подтвержденное участие педагогов в профессиональных конкурсах областного и более высоких уровней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Результаты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(максимальное количество  12   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ступени основного общего образования по результатам независимой итоговой аттестации по математике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выше, муниципального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ступени основного общего образования по результатам независимой итоговой аттестации по русскому языку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муниципального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ступени основного общего образования, получивших справку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(-1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этой категории от их общего числа выше средней по району – (-2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ступени среднего (полного) общего образования по результатам ЕГЭ по русскому языку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 муниципального – 1 балл,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республиканского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ступени среднего (полного) общего образования по результатам ЕГЭ по математике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муниципального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республиканского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среднего (полного) общего образования, выбирающих ЕГЭ по 3 и более предметам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50% выпускников ступени среднего (полного) общего образования выбирают ЕГЭ по 3 и более предметам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среднего (полного) общего образования, получивших по результатам ЕГЭ по предметам 80 и более баллов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среднего (полного) общего образования, получивших справку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(-1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этой категории от их общего числа выше средней по району – (-2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Эффективность реализации образовательной программы муниципального образовательного учреждения (максимальное количество    12 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(полного) общего образования)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 обучающихся сохранен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не получивших основное общее образование до достижения 15-летнего возраста (-1 балл за каждого)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обучающимся требований образовательного стандарта в части инвариантного перечня предметов и количества часов на их изучение учебного плана муниципального образовательного учреждения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БУП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профильных классов на ступени среднего (полного) общего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- 2 балла (за исключением универсального профиля)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предпрофильной подготовки в 9-х классах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 менее 4 предпрофильных курсов (для основной школы) – 3 балла;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 менее 6 предпрофильных курсов (для средней школы)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начальной школы по математике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муниципалльного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успеваемости выпускников начальной школы по русскому языку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выше муниципального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условно переведенных в следующий класс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условно переведенных в следующий класс (-0,5 балла за каждого)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образовательном учреждении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мониторинга удовлетворенности качеством образования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 результатам мониторинга высокая 2 балла, средняя – 1 балл, низкая – 0 баллов.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 на качество образования – (-1 балл за каждую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предписаний контрольно-надзорных органов на качество образования – (-3 балла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Эффективность инновационной (научной, методической, организационной) деятельности муниципального образовательного учреждения (максимальное количество    11 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образовательное учреждении, наличие научно-методических публикаций), базовое (опорное) образовательное учреждение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статуса с программой на муниципальном уровне – 1 балл; на региональном уровне – 2 балла; на федеральном уровне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 базе муниципального образовательного учреждения </w:t>
            </w:r>
            <w:r>
              <w:rPr>
                <w:sz w:val="24"/>
                <w:szCs w:val="24"/>
              </w:rPr>
              <w:lastRenderedPageBreak/>
              <w:t>семинаров, совещаний, конференций и т.п.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муниципальном уровне – 1 балл; на региональном уровне </w:t>
            </w:r>
            <w:r>
              <w:rPr>
                <w:sz w:val="24"/>
                <w:szCs w:val="24"/>
              </w:rPr>
              <w:lastRenderedPageBreak/>
              <w:t>– 2 балла;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 – 1 балл; на региональном уровне – 2 балла;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продуктивность реализации образовательной программы и программы развития муниципального образовательного учреждения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развития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реализации программы развития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Эффективность финансово-экономической и имущественной деятельности муниципального образовательного учреждения (максимальное количество    16   баллов).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муниципального образовательного учреждения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– 2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гарантированной части оплаты труда ( базового оклада)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задолженности по оплате за коммунальные услуги муниципального образовательного учреждения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–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подвоза обучающихся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школьного автобуса в исправном состоянии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водителя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штрафов ГИБДД –(-0,5 балла за каждый)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муниципального образовательного учреждения на «хорошо» и «отлично» - 2 балла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«удовлетворительно» - 1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по неэффективному расходованию бюджетных средств со стороны </w:t>
            </w:r>
            <w:r>
              <w:rPr>
                <w:sz w:val="24"/>
                <w:szCs w:val="24"/>
              </w:rPr>
              <w:lastRenderedPageBreak/>
              <w:t>органов финансового контроля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замечаний по неэффективному </w:t>
            </w:r>
            <w:r>
              <w:rPr>
                <w:sz w:val="24"/>
                <w:szCs w:val="24"/>
              </w:rPr>
              <w:lastRenderedPageBreak/>
              <w:t>расходованию бюджетных средств со стороны органов финансового контроля – 1 балл</w:t>
            </w:r>
          </w:p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замечаний по неэффективному расходованию бюджетных средств со стороны органов финансового контроля – (-1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444A0" w:rsidTr="005444A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 Уровень исполнительской дисциплины (максимальное количество     3 балла ).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дисциплинарных взысканий – (-1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44A0" w:rsidTr="005444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ведомственных наград у руководителя муниципального образовательного учреждения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 – 1 балл; регионального уровня – 2 балла; федерального уровня – 3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0" w:rsidRDefault="005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444A0" w:rsidRDefault="005444A0" w:rsidP="005444A0">
      <w:pPr>
        <w:rPr>
          <w:rFonts w:ascii="Times New Roman" w:hAnsi="Times New Roman"/>
          <w:sz w:val="24"/>
          <w:szCs w:val="24"/>
        </w:rPr>
      </w:pPr>
    </w:p>
    <w:p w:rsidR="00586B2C" w:rsidRDefault="00586B2C"/>
    <w:sectPr w:rsidR="00586B2C" w:rsidSect="0058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4A0"/>
    <w:rsid w:val="005444A0"/>
    <w:rsid w:val="0058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0"/>
    <w:pPr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4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2020-11-20T14:10:00Z</dcterms:created>
  <dcterms:modified xsi:type="dcterms:W3CDTF">2020-11-20T14:11:00Z</dcterms:modified>
</cp:coreProperties>
</file>